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0D8A242B" w:rsidR="00CD4C7B" w:rsidRPr="00B266B0" w:rsidRDefault="003A41EF" w:rsidP="00CD4C7B">
      <w:pPr>
        <w:pStyle w:val="Header"/>
        <w:tabs>
          <w:tab w:val="right" w:pos="9639"/>
        </w:tabs>
        <w:rPr>
          <w:bCs/>
          <w:i/>
          <w:noProof w:val="0"/>
          <w:sz w:val="24"/>
          <w:szCs w:val="24"/>
        </w:rPr>
      </w:pPr>
      <w:r w:rsidRPr="003A41EF">
        <w:rPr>
          <w:bCs/>
          <w:noProof w:val="0"/>
          <w:sz w:val="24"/>
          <w:szCs w:val="24"/>
        </w:rPr>
        <w:t xml:space="preserve">3GPP TSG-RAN WG2 Meeting </w:t>
      </w:r>
      <w:r w:rsidR="00F941DF">
        <w:rPr>
          <w:bCs/>
          <w:noProof w:val="0"/>
          <w:sz w:val="24"/>
          <w:szCs w:val="24"/>
        </w:rPr>
        <w:t>#</w:t>
      </w:r>
      <w:r w:rsidR="007C2DD0">
        <w:rPr>
          <w:bCs/>
          <w:noProof w:val="0"/>
          <w:sz w:val="24"/>
          <w:szCs w:val="24"/>
        </w:rPr>
        <w:t>10</w:t>
      </w:r>
      <w:r w:rsidR="00465587">
        <w:rPr>
          <w:bCs/>
          <w:noProof w:val="0"/>
          <w:sz w:val="24"/>
          <w:szCs w:val="24"/>
        </w:rPr>
        <w:t>5</w:t>
      </w:r>
      <w:r w:rsidR="00CD4C7B" w:rsidRPr="00B266B0">
        <w:rPr>
          <w:bCs/>
          <w:noProof w:val="0"/>
          <w:sz w:val="24"/>
          <w:szCs w:val="24"/>
        </w:rPr>
        <w:tab/>
      </w:r>
      <w:r w:rsidR="00EC5F47" w:rsidRPr="00EC5F47">
        <w:rPr>
          <w:bCs/>
          <w:noProof w:val="0"/>
          <w:sz w:val="24"/>
          <w:szCs w:val="24"/>
        </w:rPr>
        <w:t>R2-1901574</w:t>
      </w:r>
      <w:bookmarkStart w:id="0" w:name="_GoBack"/>
      <w:bookmarkEnd w:id="0"/>
    </w:p>
    <w:p w14:paraId="231362B2" w14:textId="1DEBC2C7" w:rsidR="00CD4C7B" w:rsidRPr="00465587" w:rsidRDefault="00465587" w:rsidP="00CD4C7B">
      <w:pPr>
        <w:pStyle w:val="Header"/>
        <w:tabs>
          <w:tab w:val="right" w:pos="9639"/>
        </w:tabs>
        <w:rPr>
          <w:rFonts w:eastAsia="SimSun"/>
          <w:bCs/>
          <w:sz w:val="24"/>
          <w:szCs w:val="24"/>
          <w:lang w:eastAsia="zh-CN"/>
        </w:rPr>
      </w:pPr>
      <w:r w:rsidRPr="00465587">
        <w:rPr>
          <w:rFonts w:eastAsia="SimSun"/>
          <w:bCs/>
          <w:sz w:val="24"/>
          <w:szCs w:val="24"/>
          <w:lang w:eastAsia="zh-CN"/>
        </w:rPr>
        <w:t>Athens, Greece, 25 Feb - 01 Mar 2019</w:t>
      </w:r>
      <w:r w:rsidR="00364B41">
        <w:rPr>
          <w:rFonts w:eastAsia="SimSun"/>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72C3F8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17153">
        <w:rPr>
          <w:rFonts w:cs="Arial"/>
          <w:b/>
          <w:bCs/>
          <w:sz w:val="24"/>
          <w:lang w:eastAsia="ja-JP"/>
        </w:rPr>
        <w:t>11.11.2</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A276D82"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F1AD5">
        <w:rPr>
          <w:rFonts w:ascii="Arial" w:hAnsi="Arial" w:cs="Arial"/>
          <w:b/>
          <w:bCs/>
          <w:sz w:val="24"/>
        </w:rPr>
        <w:t>Initial evaluations on power saving for paging</w:t>
      </w:r>
    </w:p>
    <w:p w14:paraId="3AC3A0B1" w14:textId="69D5B7DC"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D17153" w:rsidRPr="00D17153">
        <w:rPr>
          <w:rFonts w:ascii="Arial" w:hAnsi="Arial" w:cs="Arial"/>
          <w:b/>
          <w:bCs/>
          <w:sz w:val="24"/>
        </w:rPr>
        <w:t>FS_NR_UE_pow_sav</w:t>
      </w:r>
      <w:proofErr w:type="spellEnd"/>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D17153">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2600CFAC" w14:textId="6BE714DA" w:rsidR="000F1AD5" w:rsidRPr="000F1AD5" w:rsidRDefault="000F1AD5" w:rsidP="000F1AD5">
      <w:pPr>
        <w:overflowPunct w:val="0"/>
        <w:autoSpaceDE w:val="0"/>
        <w:autoSpaceDN w:val="0"/>
        <w:adjustRightInd w:val="0"/>
        <w:jc w:val="both"/>
        <w:textAlignment w:val="baseline"/>
        <w:rPr>
          <w:rFonts w:eastAsia="SimSun"/>
          <w:lang w:val="en-US"/>
        </w:rPr>
      </w:pPr>
      <w:r w:rsidRPr="000F1AD5">
        <w:rPr>
          <w:rFonts w:eastAsia="SimSun"/>
          <w:lang w:val="en-US"/>
        </w:rPr>
        <w:t>In Rel-16 NR, a study item (SI) on UE power saving was started</w:t>
      </w:r>
      <w:r>
        <w:rPr>
          <w:rFonts w:eastAsia="SimSun"/>
          <w:lang w:val="en-US"/>
        </w:rPr>
        <w:t xml:space="preserve"> </w:t>
      </w:r>
      <w:r>
        <w:rPr>
          <w:rFonts w:eastAsia="SimSun"/>
          <w:lang w:val="en-US"/>
        </w:rPr>
        <w:fldChar w:fldCharType="begin"/>
      </w:r>
      <w:r>
        <w:rPr>
          <w:rFonts w:eastAsia="SimSun"/>
          <w:lang w:val="en-US"/>
        </w:rPr>
        <w:instrText xml:space="preserve"> REF _Ref1055280 \r \h </w:instrText>
      </w:r>
      <w:r>
        <w:rPr>
          <w:rFonts w:eastAsia="SimSun"/>
          <w:lang w:val="en-US"/>
        </w:rPr>
      </w:r>
      <w:r>
        <w:rPr>
          <w:rFonts w:eastAsia="SimSun"/>
          <w:lang w:val="en-US"/>
        </w:rPr>
        <w:fldChar w:fldCharType="separate"/>
      </w:r>
      <w:r>
        <w:rPr>
          <w:rFonts w:eastAsia="SimSun"/>
          <w:lang w:val="en-US"/>
        </w:rPr>
        <w:t>[1]</w:t>
      </w:r>
      <w:r>
        <w:rPr>
          <w:rFonts w:eastAsia="SimSun"/>
          <w:lang w:val="en-US"/>
        </w:rPr>
        <w:fldChar w:fldCharType="end"/>
      </w:r>
      <w:r w:rsidRPr="000F1AD5">
        <w:rPr>
          <w:rFonts w:eastAsia="SimSun"/>
          <w:lang w:val="en-US"/>
        </w:rPr>
        <w:t xml:space="preserve">. The </w:t>
      </w:r>
      <w:r>
        <w:rPr>
          <w:rFonts w:eastAsia="SimSun"/>
          <w:lang w:val="en-US"/>
        </w:rPr>
        <w:t xml:space="preserve">initial schemes considered and to be evaluated by RAN1 have been captured by RAN1 </w:t>
      </w:r>
      <w:r w:rsidRPr="000F1AD5">
        <w:rPr>
          <w:rFonts w:eastAsia="SimSun"/>
          <w:lang w:val="en-US"/>
        </w:rPr>
        <w:t>in</w:t>
      </w:r>
      <w:r>
        <w:rPr>
          <w:rFonts w:eastAsia="SimSun"/>
          <w:lang w:val="en-US"/>
        </w:rPr>
        <w:t xml:space="preserve"> </w:t>
      </w:r>
      <w:r>
        <w:rPr>
          <w:rFonts w:eastAsia="SimSun"/>
          <w:lang w:val="en-US"/>
        </w:rPr>
        <w:fldChar w:fldCharType="begin"/>
      </w:r>
      <w:r>
        <w:rPr>
          <w:rFonts w:eastAsia="SimSun"/>
          <w:lang w:val="en-US"/>
        </w:rPr>
        <w:instrText xml:space="preserve"> REF _Ref1055348 \r \h </w:instrText>
      </w:r>
      <w:r>
        <w:rPr>
          <w:rFonts w:eastAsia="SimSun"/>
          <w:lang w:val="en-US"/>
        </w:rPr>
      </w:r>
      <w:r>
        <w:rPr>
          <w:rFonts w:eastAsia="SimSun"/>
          <w:lang w:val="en-US"/>
        </w:rPr>
        <w:fldChar w:fldCharType="separate"/>
      </w:r>
      <w:r>
        <w:rPr>
          <w:rFonts w:eastAsia="SimSun"/>
          <w:lang w:val="en-US"/>
        </w:rPr>
        <w:t>[2]</w:t>
      </w:r>
      <w:r>
        <w:rPr>
          <w:rFonts w:eastAsia="SimSun"/>
          <w:lang w:val="en-US"/>
        </w:rPr>
        <w:fldChar w:fldCharType="end"/>
      </w:r>
      <w:r w:rsidRPr="000F1AD5">
        <w:rPr>
          <w:rFonts w:eastAsia="SimSun"/>
          <w:lang w:val="en-US"/>
        </w:rPr>
        <w:t>.</w:t>
      </w:r>
      <w:r>
        <w:rPr>
          <w:rFonts w:eastAsia="SimSun"/>
          <w:lang w:val="en-US"/>
        </w:rPr>
        <w:t xml:space="preserve"> This TR also includes the power consumption model accounting different aspects/process in UE. </w:t>
      </w:r>
      <w:r w:rsidRPr="000F1AD5">
        <w:rPr>
          <w:rFonts w:eastAsia="SimSun"/>
          <w:lang w:val="en-US"/>
        </w:rPr>
        <w:t xml:space="preserve">  </w:t>
      </w:r>
    </w:p>
    <w:p w14:paraId="269BFBC2" w14:textId="1B17DBB2" w:rsidR="00551FB8" w:rsidRDefault="000F1AD5" w:rsidP="000F1AD5">
      <w:pPr>
        <w:rPr>
          <w:lang w:val="en-US"/>
        </w:rPr>
      </w:pPr>
      <w:r>
        <w:t xml:space="preserve">One key mechanism considered in of the ongoing study item has been the power saving signal/channel to reduce the unnecessary PDCCH monitoring. The power saving signal/channel could be implemented either using a secondary radio or using the ordinary NR radio. In case of the latter, the power saving signal/channel may be based on PDCCH coding or other </w:t>
      </w:r>
      <w:r w:rsidR="00551FB8">
        <w:t>existing NR signals</w:t>
      </w:r>
      <w:r>
        <w:t xml:space="preserve"> from recent contributions at </w:t>
      </w:r>
      <w:r w:rsidRPr="00E17F7B">
        <w:rPr>
          <w:lang w:val="en-US"/>
        </w:rPr>
        <w:t>RAN1 #95</w:t>
      </w:r>
      <w:r>
        <w:rPr>
          <w:lang w:val="en-US"/>
        </w:rPr>
        <w:t xml:space="preserve"> and RAN1 AH-1901. </w:t>
      </w:r>
      <w:r w:rsidR="00551FB8">
        <w:rPr>
          <w:rFonts w:eastAsia="SimSun"/>
          <w:lang w:val="en-US"/>
        </w:rPr>
        <w:t>RAN1 evaluations have been focused to CONNECTED state as it was seen that most prominent power saving gains could be obtained in there.</w:t>
      </w:r>
    </w:p>
    <w:p w14:paraId="340BC54D" w14:textId="46FB6AF5" w:rsidR="00551FB8" w:rsidRDefault="00551FB8" w:rsidP="000F1AD5">
      <w:pPr>
        <w:rPr>
          <w:rFonts w:eastAsia="SimSun"/>
          <w:lang w:val="en-US"/>
        </w:rPr>
      </w:pPr>
      <w:r>
        <w:rPr>
          <w:rFonts w:eastAsia="SimSun"/>
          <w:lang w:val="en-US"/>
        </w:rPr>
        <w:t xml:space="preserve">In Rel-14, WUS (i.e. power saving signal) was introduced to NB-IoT to reduce the need to monitor the multiple repetitions of the paging and preserve UE power. </w:t>
      </w:r>
      <w:r w:rsidRPr="000F1AD5">
        <w:rPr>
          <w:rFonts w:eastAsia="SimSun"/>
          <w:lang w:val="en-US"/>
        </w:rPr>
        <w:t xml:space="preserve">In this contribution, we </w:t>
      </w:r>
      <w:r>
        <w:rPr>
          <w:rFonts w:eastAsia="SimSun"/>
          <w:lang w:val="en-US"/>
        </w:rPr>
        <w:t>present initial results, using the power saving model developed by RAN1, considering the possible use of power saving signal/channel to reduce the paging monitoring.</w:t>
      </w:r>
    </w:p>
    <w:p w14:paraId="127ACA6D" w14:textId="0E6E6F29" w:rsidR="00CD4C7B" w:rsidRDefault="00CD4C7B" w:rsidP="00CD4C7B">
      <w:pPr>
        <w:pStyle w:val="Heading1"/>
      </w:pPr>
      <w:r w:rsidRPr="006E13D1">
        <w:t>2</w:t>
      </w:r>
      <w:r w:rsidRPr="006E13D1">
        <w:tab/>
      </w:r>
      <w:r w:rsidR="00A853F6">
        <w:t xml:space="preserve">Evaluation </w:t>
      </w:r>
      <w:r w:rsidR="00CC1186">
        <w:t>of WUS on paging</w:t>
      </w:r>
    </w:p>
    <w:p w14:paraId="604E4311" w14:textId="54C6D851" w:rsidR="00A853F6" w:rsidRPr="00A853F6" w:rsidRDefault="00A853F6" w:rsidP="00A853F6">
      <w:pPr>
        <w:pStyle w:val="Heading2"/>
      </w:pPr>
      <w:r>
        <w:t>2</w:t>
      </w:r>
      <w:r w:rsidRPr="006E13D1">
        <w:t>.1</w:t>
      </w:r>
      <w:r w:rsidRPr="006E13D1">
        <w:tab/>
      </w:r>
      <w:r>
        <w:t>Simulations assumptions</w:t>
      </w:r>
    </w:p>
    <w:p w14:paraId="0BB47352" w14:textId="00CFA469" w:rsidR="00CD4C7B" w:rsidRDefault="00E46941" w:rsidP="00CD4C7B">
      <w:r>
        <w:t xml:space="preserve">In the evaluation it is assumed that if no power saving signal/channel (WUS) is not provided, UE will monitor 1slot paging occasion every DRX cycle. In all the simulated cases, UE carries out intra-frequency simulations once every DRX cycle. The power consumption for the mobility measurements is as defined in </w:t>
      </w:r>
      <w:r>
        <w:fldChar w:fldCharType="begin"/>
      </w:r>
      <w:r>
        <w:instrText xml:space="preserve"> REF _Ref1055348 \r \h </w:instrText>
      </w:r>
      <w:r>
        <w:fldChar w:fldCharType="separate"/>
      </w:r>
      <w:r>
        <w:t>[2]</w:t>
      </w:r>
      <w:r>
        <w:fldChar w:fldCharType="end"/>
      </w:r>
      <w:r w:rsidR="00A853F6">
        <w:t xml:space="preserve"> and SMTC window of 2ms and periodicity of 20ms is assumed</w:t>
      </w:r>
      <w:r>
        <w:t xml:space="preserve">. </w:t>
      </w:r>
      <w:r w:rsidR="004C571A">
        <w:t>While inter-frequency and inter-RAT measurements could be typically carried out by IDLE mode UE (depending on the serving cell quality and configuration), in this evaluation those are omitted for simplicity. This somewhat underestimates the power consumption contribution of RRM measurements for the general case, and therefore gives bit optimistic view of the power consumption gains that could be achieved with WUS in IDLE. Furthermore, i</w:t>
      </w:r>
      <w:r>
        <w:t>t is assumed that the paging occasion or WUS monitoring occasion is set close to SMTC window</w:t>
      </w:r>
      <w:r w:rsidR="004C571A">
        <w:t xml:space="preserve"> (1ms)</w:t>
      </w:r>
      <w:r>
        <w:t xml:space="preserve"> so that transitions to sleep and active state are minimized. The power consumption for the transitions and periods are as defined in </w:t>
      </w:r>
      <w:r>
        <w:fldChar w:fldCharType="begin"/>
      </w:r>
      <w:r>
        <w:instrText xml:space="preserve"> REF _Ref1055348 \r \h </w:instrText>
      </w:r>
      <w:r>
        <w:fldChar w:fldCharType="separate"/>
      </w:r>
      <w:r>
        <w:t>[2]</w:t>
      </w:r>
      <w:r>
        <w:fldChar w:fldCharType="end"/>
      </w:r>
      <w:r>
        <w:t>. The power consumption for paging related PDCCH monitoring is also according to the assumptions given in the TR. As there was no consensus of the power consumption</w:t>
      </w:r>
      <w:r w:rsidR="00D93391">
        <w:t xml:space="preserve"> </w:t>
      </w:r>
      <w:r>
        <w:t>of the WU</w:t>
      </w:r>
      <w:r w:rsidR="00D93391">
        <w:t>S</w:t>
      </w:r>
      <w:r w:rsidR="00F12253">
        <w:t xml:space="preserve"> reception, two power levels have</w:t>
      </w:r>
      <w:r w:rsidR="00D93391">
        <w:t xml:space="preserve"> been assumed, 50 units and 10 units.</w:t>
      </w:r>
      <w:r>
        <w:t xml:space="preserve"> </w:t>
      </w:r>
      <w:r w:rsidR="00A853F6">
        <w:t>In this evaluation it is also assumed that the probability of actual paging is 0%, thus UE is never paged. Therefore, the power saving reduction that can be achieved by reducing the PDCCH monitoring via WUS is maximized. This assumption was selected to look at the extreme case, and typically 10%-20% paging probability should be considered.</w:t>
      </w:r>
      <w:r>
        <w:t xml:space="preserve"> Table 1 </w:t>
      </w:r>
      <w:r w:rsidR="00F12253">
        <w:t>summarises</w:t>
      </w:r>
      <w:r>
        <w:t xml:space="preserve"> the </w:t>
      </w:r>
      <w:r w:rsidR="00F12253">
        <w:t>different</w:t>
      </w:r>
      <w:r>
        <w:t xml:space="preserve"> assumptions for the considered cases</w:t>
      </w:r>
      <w:r w:rsidR="00CD4C7B" w:rsidRPr="006E13D1">
        <w:t xml:space="preserve">.  </w:t>
      </w:r>
    </w:p>
    <w:p w14:paraId="1C97C9DF" w14:textId="77777777" w:rsidR="00E46941" w:rsidRDefault="00E46941" w:rsidP="00CD4C7B"/>
    <w:p w14:paraId="24B8BB5A" w14:textId="265D149E" w:rsidR="00CD4C7B" w:rsidRPr="006E13D1" w:rsidRDefault="00E46941" w:rsidP="00CD4C7B">
      <w:pPr>
        <w:pStyle w:val="TH"/>
      </w:pPr>
      <w:r>
        <w:lastRenderedPageBreak/>
        <w:t>Table 1</w:t>
      </w:r>
      <w:r w:rsidR="00CD4C7B" w:rsidRPr="006E13D1">
        <w:t xml:space="preserve">: </w:t>
      </w:r>
      <w:r>
        <w:t>Configurations for the simulated cases</w:t>
      </w:r>
    </w:p>
    <w:tbl>
      <w:tblPr>
        <w:tblW w:w="89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247"/>
        <w:gridCol w:w="1247"/>
        <w:gridCol w:w="1247"/>
        <w:gridCol w:w="1247"/>
        <w:gridCol w:w="1247"/>
        <w:gridCol w:w="1247"/>
      </w:tblGrid>
      <w:tr w:rsidR="00E46941" w:rsidRPr="006E13D1" w14:paraId="67DFC94D" w14:textId="602C9B86" w:rsidTr="00E46941">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5DF825C3" w14:textId="054E2199" w:rsidR="00E46941" w:rsidRPr="006E13D1" w:rsidRDefault="00E46941" w:rsidP="00E46941">
            <w:pPr>
              <w:pStyle w:val="TAH"/>
              <w:spacing w:before="20" w:after="20"/>
              <w:ind w:left="57" w:right="57"/>
            </w:pPr>
            <w:r>
              <w:t>Parameter</w:t>
            </w:r>
          </w:p>
        </w:tc>
        <w:tc>
          <w:tcPr>
            <w:tcW w:w="1247" w:type="dxa"/>
            <w:tcBorders>
              <w:top w:val="single" w:sz="4" w:space="0" w:color="auto"/>
              <w:left w:val="single" w:sz="4" w:space="0" w:color="auto"/>
              <w:bottom w:val="single" w:sz="4" w:space="0" w:color="auto"/>
              <w:right w:val="single" w:sz="4" w:space="0" w:color="auto"/>
            </w:tcBorders>
            <w:vAlign w:val="center"/>
          </w:tcPr>
          <w:p w14:paraId="13CDA147" w14:textId="3EE86683" w:rsidR="00E46941" w:rsidRPr="006E13D1" w:rsidRDefault="00E46941" w:rsidP="00E46941">
            <w:pPr>
              <w:pStyle w:val="TAH"/>
              <w:spacing w:before="20" w:after="20"/>
              <w:ind w:left="57" w:right="57"/>
            </w:pPr>
            <w:r>
              <w:t>Case1</w:t>
            </w:r>
          </w:p>
        </w:tc>
        <w:tc>
          <w:tcPr>
            <w:tcW w:w="1247" w:type="dxa"/>
            <w:tcBorders>
              <w:top w:val="single" w:sz="4" w:space="0" w:color="auto"/>
              <w:left w:val="single" w:sz="4" w:space="0" w:color="auto"/>
              <w:bottom w:val="single" w:sz="4" w:space="0" w:color="auto"/>
              <w:right w:val="single" w:sz="4" w:space="0" w:color="auto"/>
            </w:tcBorders>
            <w:noWrap/>
            <w:vAlign w:val="center"/>
          </w:tcPr>
          <w:p w14:paraId="52B0E8CC" w14:textId="414508D6" w:rsidR="00E46941" w:rsidRPr="006E13D1" w:rsidRDefault="00E46941" w:rsidP="00E46941">
            <w:pPr>
              <w:pStyle w:val="TAH"/>
              <w:spacing w:before="20" w:after="20"/>
              <w:ind w:left="57" w:right="57"/>
            </w:pPr>
            <w:r>
              <w:t>Case11</w:t>
            </w:r>
          </w:p>
        </w:tc>
        <w:tc>
          <w:tcPr>
            <w:tcW w:w="1247" w:type="dxa"/>
            <w:tcBorders>
              <w:top w:val="single" w:sz="4" w:space="0" w:color="auto"/>
              <w:left w:val="single" w:sz="4" w:space="0" w:color="auto"/>
              <w:bottom w:val="single" w:sz="4" w:space="0" w:color="auto"/>
              <w:right w:val="single" w:sz="4" w:space="0" w:color="auto"/>
            </w:tcBorders>
            <w:vAlign w:val="center"/>
          </w:tcPr>
          <w:p w14:paraId="1E85B9A3" w14:textId="17F413BC" w:rsidR="00E46941" w:rsidRDefault="00E46941" w:rsidP="00E46941">
            <w:pPr>
              <w:pStyle w:val="TAH"/>
              <w:spacing w:before="20" w:after="20"/>
              <w:ind w:left="57" w:right="57"/>
            </w:pPr>
            <w:r>
              <w:t>Case11</w:t>
            </w:r>
          </w:p>
        </w:tc>
        <w:tc>
          <w:tcPr>
            <w:tcW w:w="1247" w:type="dxa"/>
            <w:tcBorders>
              <w:top w:val="single" w:sz="4" w:space="0" w:color="auto"/>
              <w:left w:val="single" w:sz="4" w:space="0" w:color="auto"/>
              <w:bottom w:val="single" w:sz="4" w:space="0" w:color="auto"/>
              <w:right w:val="single" w:sz="4" w:space="0" w:color="auto"/>
            </w:tcBorders>
            <w:vAlign w:val="center"/>
          </w:tcPr>
          <w:p w14:paraId="2A57592B" w14:textId="5BF708B3" w:rsidR="00E46941" w:rsidRDefault="00E46941" w:rsidP="00E46941">
            <w:pPr>
              <w:pStyle w:val="TAH"/>
              <w:spacing w:before="20" w:after="20"/>
              <w:ind w:left="57" w:right="57"/>
            </w:pPr>
            <w:r>
              <w:t>Case1</w:t>
            </w:r>
          </w:p>
        </w:tc>
        <w:tc>
          <w:tcPr>
            <w:tcW w:w="1247" w:type="dxa"/>
            <w:tcBorders>
              <w:top w:val="single" w:sz="4" w:space="0" w:color="auto"/>
              <w:left w:val="single" w:sz="4" w:space="0" w:color="auto"/>
              <w:bottom w:val="single" w:sz="4" w:space="0" w:color="auto"/>
              <w:right w:val="single" w:sz="4" w:space="0" w:color="auto"/>
            </w:tcBorders>
            <w:vAlign w:val="center"/>
          </w:tcPr>
          <w:p w14:paraId="74049944" w14:textId="2F15A726" w:rsidR="00E46941" w:rsidRDefault="00E46941" w:rsidP="00E46941">
            <w:pPr>
              <w:pStyle w:val="TAH"/>
              <w:spacing w:before="20" w:after="20"/>
              <w:ind w:left="57" w:right="57"/>
            </w:pPr>
            <w:r>
              <w:t>Case11</w:t>
            </w:r>
          </w:p>
        </w:tc>
        <w:tc>
          <w:tcPr>
            <w:tcW w:w="1247" w:type="dxa"/>
            <w:tcBorders>
              <w:top w:val="single" w:sz="4" w:space="0" w:color="auto"/>
              <w:left w:val="single" w:sz="4" w:space="0" w:color="auto"/>
              <w:bottom w:val="single" w:sz="4" w:space="0" w:color="auto"/>
              <w:right w:val="single" w:sz="4" w:space="0" w:color="auto"/>
            </w:tcBorders>
            <w:vAlign w:val="center"/>
          </w:tcPr>
          <w:p w14:paraId="6F78ACF4" w14:textId="6CBA3AC3" w:rsidR="00E46941" w:rsidRDefault="00E46941" w:rsidP="00E46941">
            <w:pPr>
              <w:pStyle w:val="TAH"/>
              <w:spacing w:before="20" w:after="20"/>
              <w:ind w:left="57" w:right="57"/>
            </w:pPr>
            <w:r>
              <w:t>Case11</w:t>
            </w:r>
          </w:p>
        </w:tc>
      </w:tr>
      <w:tr w:rsidR="00E46941" w:rsidRPr="006E13D1" w14:paraId="104CC140" w14:textId="6EA9B942" w:rsidTr="00E46941">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0F3A7E18" w14:textId="201E4080" w:rsidR="00E46941" w:rsidRPr="006E13D1" w:rsidRDefault="00E46941" w:rsidP="00E46941">
            <w:pPr>
              <w:pStyle w:val="TAC"/>
              <w:spacing w:before="20" w:after="20"/>
              <w:ind w:left="57" w:right="57"/>
            </w:pPr>
            <w:r>
              <w:t>IDLE DRX cycle</w:t>
            </w:r>
          </w:p>
        </w:tc>
        <w:tc>
          <w:tcPr>
            <w:tcW w:w="1247" w:type="dxa"/>
            <w:tcBorders>
              <w:top w:val="single" w:sz="4" w:space="0" w:color="auto"/>
              <w:left w:val="single" w:sz="4" w:space="0" w:color="auto"/>
              <w:bottom w:val="single" w:sz="4" w:space="0" w:color="auto"/>
              <w:right w:val="single" w:sz="4" w:space="0" w:color="auto"/>
            </w:tcBorders>
            <w:vAlign w:val="center"/>
          </w:tcPr>
          <w:p w14:paraId="52042081" w14:textId="730977D5" w:rsidR="00E46941" w:rsidRPr="006E13D1" w:rsidRDefault="00E46941" w:rsidP="00E46941">
            <w:pPr>
              <w:pStyle w:val="TAC"/>
              <w:spacing w:before="20" w:after="20"/>
              <w:ind w:left="57" w:right="57"/>
            </w:pPr>
            <w:r>
              <w:t>640ms</w:t>
            </w:r>
          </w:p>
        </w:tc>
        <w:tc>
          <w:tcPr>
            <w:tcW w:w="1247" w:type="dxa"/>
            <w:tcBorders>
              <w:top w:val="single" w:sz="4" w:space="0" w:color="auto"/>
              <w:left w:val="single" w:sz="4" w:space="0" w:color="auto"/>
              <w:bottom w:val="single" w:sz="4" w:space="0" w:color="auto"/>
              <w:right w:val="single" w:sz="4" w:space="0" w:color="auto"/>
            </w:tcBorders>
            <w:noWrap/>
            <w:vAlign w:val="center"/>
          </w:tcPr>
          <w:p w14:paraId="035FE124" w14:textId="3BD63B1C" w:rsidR="00E46941" w:rsidRPr="006E13D1" w:rsidRDefault="00E46941" w:rsidP="00E46941">
            <w:pPr>
              <w:pStyle w:val="TAC"/>
              <w:spacing w:before="20" w:after="20"/>
              <w:ind w:left="57" w:right="57"/>
            </w:pPr>
            <w:r>
              <w:t>640ms</w:t>
            </w:r>
          </w:p>
        </w:tc>
        <w:tc>
          <w:tcPr>
            <w:tcW w:w="1247" w:type="dxa"/>
            <w:tcBorders>
              <w:top w:val="single" w:sz="4" w:space="0" w:color="auto"/>
              <w:left w:val="single" w:sz="4" w:space="0" w:color="auto"/>
              <w:bottom w:val="single" w:sz="4" w:space="0" w:color="auto"/>
              <w:right w:val="single" w:sz="4" w:space="0" w:color="auto"/>
            </w:tcBorders>
            <w:vAlign w:val="center"/>
          </w:tcPr>
          <w:p w14:paraId="633A85FE" w14:textId="67081174" w:rsidR="00E46941" w:rsidRDefault="00E46941" w:rsidP="00E46941">
            <w:pPr>
              <w:pStyle w:val="TAC"/>
              <w:spacing w:before="20" w:after="20"/>
              <w:ind w:left="57" w:right="57"/>
            </w:pPr>
            <w:r>
              <w:t>640ms</w:t>
            </w:r>
          </w:p>
        </w:tc>
        <w:tc>
          <w:tcPr>
            <w:tcW w:w="1247" w:type="dxa"/>
            <w:tcBorders>
              <w:top w:val="single" w:sz="4" w:space="0" w:color="auto"/>
              <w:left w:val="single" w:sz="4" w:space="0" w:color="auto"/>
              <w:bottom w:val="single" w:sz="4" w:space="0" w:color="auto"/>
              <w:right w:val="single" w:sz="4" w:space="0" w:color="auto"/>
            </w:tcBorders>
            <w:vAlign w:val="center"/>
          </w:tcPr>
          <w:p w14:paraId="00351D87" w14:textId="05E0698F" w:rsidR="00E46941" w:rsidRDefault="00E46941" w:rsidP="00E46941">
            <w:pPr>
              <w:pStyle w:val="TAC"/>
              <w:spacing w:before="20" w:after="20"/>
              <w:ind w:left="57" w:right="57"/>
            </w:pPr>
            <w:r>
              <w:t>1280ms</w:t>
            </w:r>
          </w:p>
        </w:tc>
        <w:tc>
          <w:tcPr>
            <w:tcW w:w="1247" w:type="dxa"/>
            <w:tcBorders>
              <w:top w:val="single" w:sz="4" w:space="0" w:color="auto"/>
              <w:left w:val="single" w:sz="4" w:space="0" w:color="auto"/>
              <w:bottom w:val="single" w:sz="4" w:space="0" w:color="auto"/>
              <w:right w:val="single" w:sz="4" w:space="0" w:color="auto"/>
            </w:tcBorders>
            <w:vAlign w:val="center"/>
          </w:tcPr>
          <w:p w14:paraId="10BA83F6" w14:textId="6089C200" w:rsidR="00E46941" w:rsidRDefault="00E46941" w:rsidP="00E46941">
            <w:pPr>
              <w:pStyle w:val="TAC"/>
              <w:spacing w:before="20" w:after="20"/>
              <w:ind w:left="57" w:right="57"/>
            </w:pPr>
            <w:r>
              <w:t>1280ms</w:t>
            </w:r>
          </w:p>
        </w:tc>
        <w:tc>
          <w:tcPr>
            <w:tcW w:w="1247" w:type="dxa"/>
            <w:tcBorders>
              <w:top w:val="single" w:sz="4" w:space="0" w:color="auto"/>
              <w:left w:val="single" w:sz="4" w:space="0" w:color="auto"/>
              <w:bottom w:val="single" w:sz="4" w:space="0" w:color="auto"/>
              <w:right w:val="single" w:sz="4" w:space="0" w:color="auto"/>
            </w:tcBorders>
            <w:vAlign w:val="center"/>
          </w:tcPr>
          <w:p w14:paraId="5E652585" w14:textId="6F66CD10" w:rsidR="00E46941" w:rsidRDefault="00E46941" w:rsidP="00E46941">
            <w:pPr>
              <w:pStyle w:val="TAC"/>
              <w:spacing w:before="20" w:after="20"/>
              <w:ind w:left="57" w:right="57"/>
            </w:pPr>
            <w:r>
              <w:t>1280ms</w:t>
            </w:r>
          </w:p>
        </w:tc>
      </w:tr>
      <w:tr w:rsidR="00E46941" w:rsidRPr="006E13D1" w14:paraId="1D7C8C60" w14:textId="5F509509" w:rsidTr="00E46941">
        <w:trPr>
          <w:trHeight w:val="240"/>
          <w:jc w:val="center"/>
        </w:trPr>
        <w:tc>
          <w:tcPr>
            <w:tcW w:w="1475" w:type="dxa"/>
            <w:tcBorders>
              <w:top w:val="single" w:sz="4" w:space="0" w:color="auto"/>
            </w:tcBorders>
            <w:noWrap/>
            <w:vAlign w:val="bottom"/>
          </w:tcPr>
          <w:p w14:paraId="6B9E7D4E" w14:textId="7D3C1F30" w:rsidR="00E46941" w:rsidRPr="006E13D1" w:rsidRDefault="00E46941" w:rsidP="00E46941">
            <w:pPr>
              <w:pStyle w:val="TAC"/>
              <w:spacing w:before="20" w:after="20"/>
              <w:ind w:left="57" w:right="57"/>
            </w:pPr>
            <w:r>
              <w:t>Paging monitoring</w:t>
            </w:r>
          </w:p>
        </w:tc>
        <w:tc>
          <w:tcPr>
            <w:tcW w:w="1247" w:type="dxa"/>
            <w:tcBorders>
              <w:top w:val="single" w:sz="4" w:space="0" w:color="auto"/>
            </w:tcBorders>
            <w:vAlign w:val="center"/>
          </w:tcPr>
          <w:p w14:paraId="3A39F6FF" w14:textId="2A176228" w:rsidR="00E46941" w:rsidRPr="006E13D1" w:rsidRDefault="00E46941" w:rsidP="00E46941">
            <w:pPr>
              <w:pStyle w:val="TAC"/>
              <w:spacing w:before="20" w:after="20"/>
              <w:ind w:left="57" w:right="57"/>
            </w:pPr>
            <w:r>
              <w:t>1 slot/ 100 units</w:t>
            </w:r>
          </w:p>
        </w:tc>
        <w:tc>
          <w:tcPr>
            <w:tcW w:w="1247" w:type="dxa"/>
            <w:tcBorders>
              <w:top w:val="single" w:sz="4" w:space="0" w:color="auto"/>
            </w:tcBorders>
            <w:noWrap/>
            <w:vAlign w:val="center"/>
          </w:tcPr>
          <w:p w14:paraId="5CC57093" w14:textId="4CEBC0B2" w:rsidR="00E46941" w:rsidRPr="006E13D1" w:rsidRDefault="00E46941" w:rsidP="00E46941">
            <w:pPr>
              <w:pStyle w:val="TAC"/>
              <w:spacing w:before="20" w:after="20"/>
              <w:ind w:left="57" w:right="57"/>
            </w:pPr>
            <w:r>
              <w:t>none</w:t>
            </w:r>
          </w:p>
        </w:tc>
        <w:tc>
          <w:tcPr>
            <w:tcW w:w="1247" w:type="dxa"/>
            <w:tcBorders>
              <w:top w:val="single" w:sz="4" w:space="0" w:color="auto"/>
            </w:tcBorders>
            <w:vAlign w:val="center"/>
          </w:tcPr>
          <w:p w14:paraId="100D8179" w14:textId="07100D22" w:rsidR="00E46941" w:rsidRPr="006E13D1" w:rsidRDefault="00E46941" w:rsidP="00E46941">
            <w:pPr>
              <w:pStyle w:val="TAC"/>
              <w:spacing w:before="20" w:after="20"/>
              <w:ind w:left="57" w:right="57"/>
            </w:pPr>
            <w:r>
              <w:t>none</w:t>
            </w:r>
          </w:p>
        </w:tc>
        <w:tc>
          <w:tcPr>
            <w:tcW w:w="1247" w:type="dxa"/>
            <w:tcBorders>
              <w:top w:val="single" w:sz="4" w:space="0" w:color="auto"/>
            </w:tcBorders>
            <w:vAlign w:val="center"/>
          </w:tcPr>
          <w:p w14:paraId="317256F5" w14:textId="144D3C72" w:rsidR="00E46941" w:rsidRDefault="00E46941" w:rsidP="00E46941">
            <w:pPr>
              <w:pStyle w:val="TAC"/>
              <w:spacing w:before="20" w:after="20"/>
              <w:ind w:left="57" w:right="57"/>
            </w:pPr>
            <w:r>
              <w:t>1 slot/ 100 units</w:t>
            </w:r>
          </w:p>
        </w:tc>
        <w:tc>
          <w:tcPr>
            <w:tcW w:w="1247" w:type="dxa"/>
            <w:tcBorders>
              <w:top w:val="single" w:sz="4" w:space="0" w:color="auto"/>
            </w:tcBorders>
            <w:vAlign w:val="center"/>
          </w:tcPr>
          <w:p w14:paraId="0A7EC2EF" w14:textId="604C67E4" w:rsidR="00E46941" w:rsidRDefault="00E46941" w:rsidP="00E46941">
            <w:pPr>
              <w:pStyle w:val="TAC"/>
              <w:spacing w:before="20" w:after="20"/>
              <w:ind w:left="57" w:right="57"/>
            </w:pPr>
            <w:r>
              <w:t>none</w:t>
            </w:r>
          </w:p>
        </w:tc>
        <w:tc>
          <w:tcPr>
            <w:tcW w:w="1247" w:type="dxa"/>
            <w:tcBorders>
              <w:top w:val="single" w:sz="4" w:space="0" w:color="auto"/>
            </w:tcBorders>
            <w:vAlign w:val="center"/>
          </w:tcPr>
          <w:p w14:paraId="3C08FAB4" w14:textId="6E3A6E17" w:rsidR="00E46941" w:rsidRDefault="00E46941" w:rsidP="00E46941">
            <w:pPr>
              <w:pStyle w:val="TAC"/>
              <w:spacing w:before="20" w:after="20"/>
              <w:ind w:left="57" w:right="57"/>
            </w:pPr>
            <w:r>
              <w:t>none</w:t>
            </w:r>
          </w:p>
        </w:tc>
      </w:tr>
      <w:tr w:rsidR="00E46941" w:rsidRPr="006E13D1" w14:paraId="39602555" w14:textId="202E5160" w:rsidTr="00E46941">
        <w:trPr>
          <w:trHeight w:val="240"/>
          <w:jc w:val="center"/>
        </w:trPr>
        <w:tc>
          <w:tcPr>
            <w:tcW w:w="1475" w:type="dxa"/>
            <w:noWrap/>
            <w:vAlign w:val="bottom"/>
          </w:tcPr>
          <w:p w14:paraId="4E21F19A" w14:textId="451D09C5" w:rsidR="00E46941" w:rsidRPr="006E13D1" w:rsidRDefault="00E46941" w:rsidP="00E46941">
            <w:pPr>
              <w:pStyle w:val="TAC"/>
              <w:spacing w:before="20" w:after="20"/>
              <w:ind w:left="57" w:right="57"/>
            </w:pPr>
            <w:r>
              <w:t>WUS</w:t>
            </w:r>
            <w:r w:rsidR="00A853F6">
              <w:t xml:space="preserve"> monitoring</w:t>
            </w:r>
          </w:p>
        </w:tc>
        <w:tc>
          <w:tcPr>
            <w:tcW w:w="1247" w:type="dxa"/>
            <w:vAlign w:val="center"/>
          </w:tcPr>
          <w:p w14:paraId="073E79AA" w14:textId="0F5A5B2A" w:rsidR="00E46941" w:rsidRPr="006E13D1" w:rsidRDefault="00E46941" w:rsidP="00E46941">
            <w:pPr>
              <w:pStyle w:val="TAC"/>
              <w:spacing w:before="20" w:after="20"/>
              <w:ind w:left="57" w:right="57"/>
            </w:pPr>
            <w:r>
              <w:t>none</w:t>
            </w:r>
          </w:p>
        </w:tc>
        <w:tc>
          <w:tcPr>
            <w:tcW w:w="1247" w:type="dxa"/>
            <w:noWrap/>
            <w:vAlign w:val="center"/>
          </w:tcPr>
          <w:p w14:paraId="02CE24A3" w14:textId="3BC87BBB" w:rsidR="00E46941" w:rsidRPr="006E13D1" w:rsidRDefault="00E46941" w:rsidP="00E46941">
            <w:pPr>
              <w:pStyle w:val="TAC"/>
              <w:spacing w:before="20" w:after="20"/>
              <w:ind w:left="57" w:right="57"/>
            </w:pPr>
            <w:r>
              <w:t>50 units</w:t>
            </w:r>
          </w:p>
        </w:tc>
        <w:tc>
          <w:tcPr>
            <w:tcW w:w="1247" w:type="dxa"/>
            <w:vAlign w:val="center"/>
          </w:tcPr>
          <w:p w14:paraId="449E4753" w14:textId="581A8C78" w:rsidR="00E46941" w:rsidRPr="006E13D1" w:rsidRDefault="00E46941" w:rsidP="00E46941">
            <w:pPr>
              <w:pStyle w:val="TAC"/>
              <w:spacing w:before="20" w:after="20"/>
              <w:ind w:left="57" w:right="57"/>
            </w:pPr>
            <w:r>
              <w:t>10uni</w:t>
            </w:r>
            <w:r w:rsidR="00F12253">
              <w:t>t</w:t>
            </w:r>
            <w:r>
              <w:t>s</w:t>
            </w:r>
          </w:p>
        </w:tc>
        <w:tc>
          <w:tcPr>
            <w:tcW w:w="1247" w:type="dxa"/>
            <w:vAlign w:val="center"/>
          </w:tcPr>
          <w:p w14:paraId="2BF484DA" w14:textId="529E6782" w:rsidR="00E46941" w:rsidRDefault="00E46941" w:rsidP="00E46941">
            <w:pPr>
              <w:pStyle w:val="TAC"/>
              <w:spacing w:before="20" w:after="20"/>
              <w:ind w:left="57" w:right="57"/>
            </w:pPr>
            <w:r>
              <w:t>none</w:t>
            </w:r>
          </w:p>
        </w:tc>
        <w:tc>
          <w:tcPr>
            <w:tcW w:w="1247" w:type="dxa"/>
            <w:vAlign w:val="center"/>
          </w:tcPr>
          <w:p w14:paraId="5E9962C7" w14:textId="21F5C982" w:rsidR="00E46941" w:rsidRDefault="00E46941" w:rsidP="00E46941">
            <w:pPr>
              <w:pStyle w:val="TAC"/>
              <w:spacing w:before="20" w:after="20"/>
              <w:ind w:left="57" w:right="57"/>
            </w:pPr>
            <w:r>
              <w:t>50 units</w:t>
            </w:r>
          </w:p>
        </w:tc>
        <w:tc>
          <w:tcPr>
            <w:tcW w:w="1247" w:type="dxa"/>
            <w:vAlign w:val="center"/>
          </w:tcPr>
          <w:p w14:paraId="3D6F665A" w14:textId="0D8BBEA0" w:rsidR="00E46941" w:rsidRDefault="00E46941" w:rsidP="00E46941">
            <w:pPr>
              <w:pStyle w:val="TAC"/>
              <w:spacing w:before="20" w:after="20"/>
              <w:ind w:left="57" w:right="57"/>
            </w:pPr>
            <w:r>
              <w:t>10uni</w:t>
            </w:r>
            <w:r w:rsidR="00F12253">
              <w:t>t</w:t>
            </w:r>
            <w:r>
              <w:t>s</w:t>
            </w:r>
          </w:p>
        </w:tc>
      </w:tr>
    </w:tbl>
    <w:p w14:paraId="1C43BC86" w14:textId="77777777" w:rsidR="00820892" w:rsidRDefault="00820892" w:rsidP="001B49C9"/>
    <w:p w14:paraId="266EF065" w14:textId="1F12EBCC" w:rsidR="00A853F6" w:rsidRDefault="00A853F6" w:rsidP="00A853F6">
      <w:pPr>
        <w:pStyle w:val="Heading2"/>
      </w:pPr>
      <w:r>
        <w:t>2</w:t>
      </w:r>
      <w:r w:rsidR="00CC1186">
        <w:t>.2</w:t>
      </w:r>
      <w:r w:rsidRPr="006E13D1">
        <w:tab/>
      </w:r>
      <w:r>
        <w:t xml:space="preserve">Simulations </w:t>
      </w:r>
      <w:r w:rsidR="00CC1186">
        <w:t>results</w:t>
      </w:r>
    </w:p>
    <w:p w14:paraId="3884F67D" w14:textId="771E7845" w:rsidR="00CD4C7B" w:rsidRDefault="00820892" w:rsidP="001B49C9">
      <w:r>
        <w:t>In Figure 1 the relative comparison of the power consumptions for the considered cases is presented. The reference (100%) is set to Case1 (640ms cycle, no WUS)</w:t>
      </w:r>
      <w:r w:rsidR="004C571A">
        <w:t xml:space="preserve"> in the figure</w:t>
      </w:r>
      <w:r>
        <w:t>.</w:t>
      </w:r>
      <w:r w:rsidR="004C571A">
        <w:t xml:space="preserve"> </w:t>
      </w:r>
      <w:r w:rsidR="00A853F6">
        <w:t xml:space="preserve">The results are also summarised in Table 2. </w:t>
      </w:r>
      <w:r w:rsidR="004C571A">
        <w:t xml:space="preserve">It can be seen, that </w:t>
      </w:r>
      <w:r w:rsidR="00A853F6">
        <w:t>for DRX cycle of 640ms the power saving of WUS for paging is less than 5% even with relative aggressive assumption of WUS power consumption of 10 units. Correspondingly, with 1280ms DRX cycle (where PO appears less frequen</w:t>
      </w:r>
      <w:r w:rsidR="00CC1186">
        <w:t>tly) the relative gain is further reduced, less than 3%.</w:t>
      </w:r>
    </w:p>
    <w:p w14:paraId="66F8EC92" w14:textId="6ABA4DDD" w:rsidR="00CC1186" w:rsidRDefault="00CC1186" w:rsidP="001B49C9">
      <w:r>
        <w:t xml:space="preserve">Thus, while as noted in Section 2.1, that the assumptions are somewhat optimistic from the perspective of the WUS for paging (no actual paging, and restricted RRM measurements) the attainable power saving gain seems very limited. </w:t>
      </w:r>
    </w:p>
    <w:p w14:paraId="3C4EFEF5" w14:textId="77777777" w:rsidR="00820892" w:rsidRPr="006E13D1" w:rsidRDefault="00820892" w:rsidP="00820892">
      <w:pPr>
        <w:pStyle w:val="TH"/>
      </w:pPr>
      <w:r>
        <w:rPr>
          <w:noProof/>
        </w:rPr>
        <w:drawing>
          <wp:inline distT="0" distB="0" distL="0" distR="0" wp14:anchorId="04DAB0FD" wp14:editId="54C49ADF">
            <wp:extent cx="5358765" cy="4182110"/>
            <wp:effectExtent l="0" t="0" r="0" b="889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8765" cy="4182110"/>
                    </a:xfrm>
                    <a:prstGeom prst="rect">
                      <a:avLst/>
                    </a:prstGeom>
                    <a:noFill/>
                  </pic:spPr>
                </pic:pic>
              </a:graphicData>
            </a:graphic>
          </wp:inline>
        </w:drawing>
      </w:r>
    </w:p>
    <w:p w14:paraId="3D97D532" w14:textId="042A54F3" w:rsidR="00820892" w:rsidRPr="006E13D1" w:rsidRDefault="00820892" w:rsidP="00820892">
      <w:pPr>
        <w:pStyle w:val="TF"/>
      </w:pPr>
      <w:r>
        <w:t>Figure 1</w:t>
      </w:r>
      <w:r w:rsidRPr="006E13D1">
        <w:t xml:space="preserve">: </w:t>
      </w:r>
      <w:r>
        <w:t>Impact of WUS on power consumption in IDLE</w:t>
      </w:r>
    </w:p>
    <w:p w14:paraId="3AF74CED" w14:textId="07CF5E69" w:rsidR="00820892" w:rsidRDefault="00820892" w:rsidP="001B49C9"/>
    <w:p w14:paraId="4A543327" w14:textId="77777777" w:rsidR="00820892" w:rsidRDefault="00820892" w:rsidP="00820892"/>
    <w:p w14:paraId="1B3B4CA4" w14:textId="142B813D" w:rsidR="00820892" w:rsidRPr="006E13D1" w:rsidRDefault="00820892" w:rsidP="00820892">
      <w:pPr>
        <w:pStyle w:val="TH"/>
      </w:pPr>
      <w:r>
        <w:t>Table 2</w:t>
      </w:r>
      <w:r w:rsidRPr="006E13D1">
        <w:t xml:space="preserve">: </w:t>
      </w:r>
      <w:r w:rsidR="004C571A">
        <w:t>Summary of the relative numbers</w:t>
      </w:r>
    </w:p>
    <w:tbl>
      <w:tblPr>
        <w:tblW w:w="895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475"/>
        <w:gridCol w:w="1247"/>
        <w:gridCol w:w="1247"/>
        <w:gridCol w:w="1247"/>
        <w:gridCol w:w="1247"/>
        <w:gridCol w:w="1247"/>
        <w:gridCol w:w="1247"/>
      </w:tblGrid>
      <w:tr w:rsidR="00820892" w:rsidRPr="006E13D1" w14:paraId="052B5D96" w14:textId="77777777" w:rsidTr="009B4AFC">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4CF7F184" w14:textId="410A8CB7" w:rsidR="00820892" w:rsidRPr="006E13D1" w:rsidRDefault="00820892" w:rsidP="009B4AFC">
            <w:pPr>
              <w:pStyle w:val="TAH"/>
              <w:spacing w:before="20" w:after="20"/>
              <w:ind w:left="57" w:right="57"/>
            </w:pPr>
          </w:p>
        </w:tc>
        <w:tc>
          <w:tcPr>
            <w:tcW w:w="1247" w:type="dxa"/>
            <w:tcBorders>
              <w:top w:val="single" w:sz="4" w:space="0" w:color="auto"/>
              <w:left w:val="single" w:sz="4" w:space="0" w:color="auto"/>
              <w:bottom w:val="single" w:sz="4" w:space="0" w:color="auto"/>
              <w:right w:val="single" w:sz="4" w:space="0" w:color="auto"/>
            </w:tcBorders>
            <w:vAlign w:val="center"/>
          </w:tcPr>
          <w:p w14:paraId="5EF928CC" w14:textId="77777777" w:rsidR="00820892" w:rsidRPr="006E13D1" w:rsidRDefault="00820892" w:rsidP="009B4AFC">
            <w:pPr>
              <w:pStyle w:val="TAH"/>
              <w:spacing w:before="20" w:after="20"/>
              <w:ind w:left="57" w:right="57"/>
            </w:pPr>
            <w:r>
              <w:t>Case1</w:t>
            </w:r>
          </w:p>
        </w:tc>
        <w:tc>
          <w:tcPr>
            <w:tcW w:w="1247" w:type="dxa"/>
            <w:tcBorders>
              <w:top w:val="single" w:sz="4" w:space="0" w:color="auto"/>
              <w:left w:val="single" w:sz="4" w:space="0" w:color="auto"/>
              <w:bottom w:val="single" w:sz="4" w:space="0" w:color="auto"/>
              <w:right w:val="single" w:sz="4" w:space="0" w:color="auto"/>
            </w:tcBorders>
            <w:noWrap/>
            <w:vAlign w:val="center"/>
          </w:tcPr>
          <w:p w14:paraId="179EFDC4" w14:textId="77777777" w:rsidR="00820892" w:rsidRPr="006E13D1" w:rsidRDefault="00820892" w:rsidP="009B4AFC">
            <w:pPr>
              <w:pStyle w:val="TAH"/>
              <w:spacing w:before="20" w:after="20"/>
              <w:ind w:left="57" w:right="57"/>
            </w:pPr>
            <w:r>
              <w:t>Case11</w:t>
            </w:r>
          </w:p>
        </w:tc>
        <w:tc>
          <w:tcPr>
            <w:tcW w:w="1247" w:type="dxa"/>
            <w:tcBorders>
              <w:top w:val="single" w:sz="4" w:space="0" w:color="auto"/>
              <w:left w:val="single" w:sz="4" w:space="0" w:color="auto"/>
              <w:bottom w:val="single" w:sz="4" w:space="0" w:color="auto"/>
              <w:right w:val="single" w:sz="4" w:space="0" w:color="auto"/>
            </w:tcBorders>
            <w:vAlign w:val="center"/>
          </w:tcPr>
          <w:p w14:paraId="497A1202" w14:textId="6189BBB2" w:rsidR="00820892" w:rsidRDefault="00820892" w:rsidP="009B4AFC">
            <w:pPr>
              <w:pStyle w:val="TAH"/>
              <w:spacing w:before="20" w:after="20"/>
              <w:ind w:left="57" w:right="57"/>
            </w:pPr>
            <w:r>
              <w:t>Case1</w:t>
            </w:r>
            <w:r w:rsidR="004C571A">
              <w:t>2</w:t>
            </w:r>
          </w:p>
        </w:tc>
        <w:tc>
          <w:tcPr>
            <w:tcW w:w="1247" w:type="dxa"/>
            <w:tcBorders>
              <w:top w:val="single" w:sz="4" w:space="0" w:color="auto"/>
              <w:left w:val="single" w:sz="4" w:space="0" w:color="auto"/>
              <w:bottom w:val="single" w:sz="4" w:space="0" w:color="auto"/>
              <w:right w:val="single" w:sz="4" w:space="0" w:color="auto"/>
            </w:tcBorders>
            <w:vAlign w:val="center"/>
          </w:tcPr>
          <w:p w14:paraId="6B11AD57" w14:textId="77777777" w:rsidR="00820892" w:rsidRDefault="00820892" w:rsidP="009B4AFC">
            <w:pPr>
              <w:pStyle w:val="TAH"/>
              <w:spacing w:before="20" w:after="20"/>
              <w:ind w:left="57" w:right="57"/>
            </w:pPr>
            <w:r>
              <w:t>Case1</w:t>
            </w:r>
          </w:p>
        </w:tc>
        <w:tc>
          <w:tcPr>
            <w:tcW w:w="1247" w:type="dxa"/>
            <w:tcBorders>
              <w:top w:val="single" w:sz="4" w:space="0" w:color="auto"/>
              <w:left w:val="single" w:sz="4" w:space="0" w:color="auto"/>
              <w:bottom w:val="single" w:sz="4" w:space="0" w:color="auto"/>
              <w:right w:val="single" w:sz="4" w:space="0" w:color="auto"/>
            </w:tcBorders>
            <w:vAlign w:val="center"/>
          </w:tcPr>
          <w:p w14:paraId="2033E1E9" w14:textId="77777777" w:rsidR="00820892" w:rsidRDefault="00820892" w:rsidP="009B4AFC">
            <w:pPr>
              <w:pStyle w:val="TAH"/>
              <w:spacing w:before="20" w:after="20"/>
              <w:ind w:left="57" w:right="57"/>
            </w:pPr>
            <w:r>
              <w:t>Case11</w:t>
            </w:r>
          </w:p>
        </w:tc>
        <w:tc>
          <w:tcPr>
            <w:tcW w:w="1247" w:type="dxa"/>
            <w:tcBorders>
              <w:top w:val="single" w:sz="4" w:space="0" w:color="auto"/>
              <w:left w:val="single" w:sz="4" w:space="0" w:color="auto"/>
              <w:bottom w:val="single" w:sz="4" w:space="0" w:color="auto"/>
              <w:right w:val="single" w:sz="4" w:space="0" w:color="auto"/>
            </w:tcBorders>
            <w:vAlign w:val="center"/>
          </w:tcPr>
          <w:p w14:paraId="016E7281" w14:textId="77777777" w:rsidR="00820892" w:rsidRDefault="00820892" w:rsidP="009B4AFC">
            <w:pPr>
              <w:pStyle w:val="TAH"/>
              <w:spacing w:before="20" w:after="20"/>
              <w:ind w:left="57" w:right="57"/>
            </w:pPr>
            <w:r>
              <w:t>Case11</w:t>
            </w:r>
          </w:p>
        </w:tc>
      </w:tr>
      <w:tr w:rsidR="00820892" w:rsidRPr="006E13D1" w14:paraId="0F770F7E" w14:textId="77777777" w:rsidTr="009B4AFC">
        <w:trPr>
          <w:trHeight w:val="240"/>
          <w:jc w:val="center"/>
        </w:trPr>
        <w:tc>
          <w:tcPr>
            <w:tcW w:w="1475" w:type="dxa"/>
            <w:tcBorders>
              <w:top w:val="single" w:sz="4" w:space="0" w:color="auto"/>
              <w:left w:val="single" w:sz="4" w:space="0" w:color="auto"/>
              <w:bottom w:val="single" w:sz="4" w:space="0" w:color="auto"/>
              <w:right w:val="single" w:sz="4" w:space="0" w:color="auto"/>
            </w:tcBorders>
            <w:noWrap/>
            <w:vAlign w:val="bottom"/>
          </w:tcPr>
          <w:p w14:paraId="6BB20919" w14:textId="2E0305A0" w:rsidR="00820892" w:rsidRPr="006E13D1" w:rsidRDefault="004C571A" w:rsidP="009B4AFC">
            <w:pPr>
              <w:pStyle w:val="TAC"/>
              <w:spacing w:before="20" w:after="20"/>
              <w:ind w:left="57" w:right="57"/>
            </w:pPr>
            <w:r>
              <w:t>Relative power consumption versus Case1</w:t>
            </w:r>
          </w:p>
        </w:tc>
        <w:tc>
          <w:tcPr>
            <w:tcW w:w="1247" w:type="dxa"/>
            <w:tcBorders>
              <w:top w:val="single" w:sz="4" w:space="0" w:color="auto"/>
              <w:left w:val="single" w:sz="4" w:space="0" w:color="auto"/>
              <w:bottom w:val="single" w:sz="4" w:space="0" w:color="auto"/>
              <w:right w:val="single" w:sz="4" w:space="0" w:color="auto"/>
            </w:tcBorders>
            <w:vAlign w:val="center"/>
          </w:tcPr>
          <w:p w14:paraId="281405F8" w14:textId="6ED89E6C" w:rsidR="00820892" w:rsidRPr="006E13D1" w:rsidRDefault="004C571A" w:rsidP="009B4AFC">
            <w:pPr>
              <w:pStyle w:val="TAC"/>
              <w:spacing w:before="20" w:after="20"/>
              <w:ind w:left="57" w:right="57"/>
            </w:pPr>
            <w:r>
              <w:t>100%</w:t>
            </w:r>
          </w:p>
        </w:tc>
        <w:tc>
          <w:tcPr>
            <w:tcW w:w="1247" w:type="dxa"/>
            <w:tcBorders>
              <w:top w:val="single" w:sz="4" w:space="0" w:color="auto"/>
              <w:left w:val="single" w:sz="4" w:space="0" w:color="auto"/>
              <w:bottom w:val="single" w:sz="4" w:space="0" w:color="auto"/>
              <w:right w:val="single" w:sz="4" w:space="0" w:color="auto"/>
            </w:tcBorders>
            <w:noWrap/>
            <w:vAlign w:val="center"/>
          </w:tcPr>
          <w:p w14:paraId="2335B551" w14:textId="4E32D274" w:rsidR="00820892" w:rsidRPr="006E13D1" w:rsidRDefault="004C571A" w:rsidP="009B4AFC">
            <w:pPr>
              <w:pStyle w:val="TAC"/>
              <w:spacing w:before="20" w:after="20"/>
              <w:ind w:left="57" w:right="57"/>
            </w:pPr>
            <w:r>
              <w:t>98.1%</w:t>
            </w:r>
          </w:p>
        </w:tc>
        <w:tc>
          <w:tcPr>
            <w:tcW w:w="1247" w:type="dxa"/>
            <w:tcBorders>
              <w:top w:val="single" w:sz="4" w:space="0" w:color="auto"/>
              <w:left w:val="single" w:sz="4" w:space="0" w:color="auto"/>
              <w:bottom w:val="single" w:sz="4" w:space="0" w:color="auto"/>
              <w:right w:val="single" w:sz="4" w:space="0" w:color="auto"/>
            </w:tcBorders>
            <w:vAlign w:val="center"/>
          </w:tcPr>
          <w:p w14:paraId="5E799D12" w14:textId="419107CC" w:rsidR="00820892" w:rsidRDefault="004C571A" w:rsidP="009B4AFC">
            <w:pPr>
              <w:pStyle w:val="TAC"/>
              <w:spacing w:before="20" w:after="20"/>
              <w:ind w:left="57" w:right="57"/>
            </w:pPr>
            <w:r>
              <w:t>96.5%</w:t>
            </w:r>
          </w:p>
        </w:tc>
        <w:tc>
          <w:tcPr>
            <w:tcW w:w="1247" w:type="dxa"/>
            <w:tcBorders>
              <w:top w:val="single" w:sz="4" w:space="0" w:color="auto"/>
              <w:left w:val="single" w:sz="4" w:space="0" w:color="auto"/>
              <w:bottom w:val="single" w:sz="4" w:space="0" w:color="auto"/>
              <w:right w:val="single" w:sz="4" w:space="0" w:color="auto"/>
            </w:tcBorders>
            <w:vAlign w:val="center"/>
          </w:tcPr>
          <w:p w14:paraId="7A8BA1AA" w14:textId="78DA1B5C" w:rsidR="00820892" w:rsidRDefault="004C571A" w:rsidP="009B4AFC">
            <w:pPr>
              <w:pStyle w:val="TAC"/>
              <w:spacing w:before="20" w:after="20"/>
              <w:ind w:left="57" w:right="57"/>
            </w:pPr>
            <w:r>
              <w:t>74.6%</w:t>
            </w:r>
          </w:p>
        </w:tc>
        <w:tc>
          <w:tcPr>
            <w:tcW w:w="1247" w:type="dxa"/>
            <w:tcBorders>
              <w:top w:val="single" w:sz="4" w:space="0" w:color="auto"/>
              <w:left w:val="single" w:sz="4" w:space="0" w:color="auto"/>
              <w:bottom w:val="single" w:sz="4" w:space="0" w:color="auto"/>
              <w:right w:val="single" w:sz="4" w:space="0" w:color="auto"/>
            </w:tcBorders>
            <w:vAlign w:val="center"/>
          </w:tcPr>
          <w:p w14:paraId="59C5E6B3" w14:textId="2E431242" w:rsidR="00820892" w:rsidRDefault="004C571A" w:rsidP="009B4AFC">
            <w:pPr>
              <w:pStyle w:val="TAC"/>
              <w:spacing w:before="20" w:after="20"/>
              <w:ind w:left="57" w:right="57"/>
            </w:pPr>
            <w:r>
              <w:t>73.6%</w:t>
            </w:r>
          </w:p>
        </w:tc>
        <w:tc>
          <w:tcPr>
            <w:tcW w:w="1247" w:type="dxa"/>
            <w:tcBorders>
              <w:top w:val="single" w:sz="4" w:space="0" w:color="auto"/>
              <w:left w:val="single" w:sz="4" w:space="0" w:color="auto"/>
              <w:bottom w:val="single" w:sz="4" w:space="0" w:color="auto"/>
              <w:right w:val="single" w:sz="4" w:space="0" w:color="auto"/>
            </w:tcBorders>
            <w:vAlign w:val="center"/>
          </w:tcPr>
          <w:p w14:paraId="18304941" w14:textId="14D645BD" w:rsidR="00820892" w:rsidRDefault="004C571A" w:rsidP="009B4AFC">
            <w:pPr>
              <w:pStyle w:val="TAC"/>
              <w:spacing w:before="20" w:after="20"/>
              <w:ind w:left="57" w:right="57"/>
            </w:pPr>
            <w:r>
              <w:t>72.9%</w:t>
            </w:r>
          </w:p>
        </w:tc>
      </w:tr>
      <w:tr w:rsidR="00820892" w:rsidRPr="006E13D1" w14:paraId="21823E5B" w14:textId="77777777" w:rsidTr="009B4AFC">
        <w:trPr>
          <w:trHeight w:val="240"/>
          <w:jc w:val="center"/>
        </w:trPr>
        <w:tc>
          <w:tcPr>
            <w:tcW w:w="1475" w:type="dxa"/>
            <w:tcBorders>
              <w:top w:val="single" w:sz="4" w:space="0" w:color="auto"/>
            </w:tcBorders>
            <w:noWrap/>
            <w:vAlign w:val="bottom"/>
          </w:tcPr>
          <w:p w14:paraId="659A162F" w14:textId="49FE8351" w:rsidR="00820892" w:rsidRPr="006E13D1" w:rsidRDefault="004C571A" w:rsidP="009B4AFC">
            <w:pPr>
              <w:pStyle w:val="TAC"/>
              <w:spacing w:before="20" w:after="20"/>
              <w:ind w:left="57" w:right="57"/>
            </w:pPr>
            <w:r>
              <w:t>Relative power consumption versus Case2</w:t>
            </w:r>
          </w:p>
        </w:tc>
        <w:tc>
          <w:tcPr>
            <w:tcW w:w="1247" w:type="dxa"/>
            <w:tcBorders>
              <w:top w:val="single" w:sz="4" w:space="0" w:color="auto"/>
            </w:tcBorders>
            <w:vAlign w:val="center"/>
          </w:tcPr>
          <w:p w14:paraId="6351F8DE" w14:textId="3EE7C221" w:rsidR="00820892" w:rsidRPr="006E13D1" w:rsidRDefault="004C571A" w:rsidP="009B4AFC">
            <w:pPr>
              <w:pStyle w:val="TAC"/>
              <w:spacing w:before="20" w:after="20"/>
              <w:ind w:left="57" w:right="57"/>
            </w:pPr>
            <w:r>
              <w:t>-</w:t>
            </w:r>
          </w:p>
        </w:tc>
        <w:tc>
          <w:tcPr>
            <w:tcW w:w="1247" w:type="dxa"/>
            <w:tcBorders>
              <w:top w:val="single" w:sz="4" w:space="0" w:color="auto"/>
            </w:tcBorders>
            <w:noWrap/>
            <w:vAlign w:val="center"/>
          </w:tcPr>
          <w:p w14:paraId="5AC536C9" w14:textId="4D814F85" w:rsidR="00820892" w:rsidRPr="006E13D1" w:rsidRDefault="004C571A" w:rsidP="009B4AFC">
            <w:pPr>
              <w:pStyle w:val="TAC"/>
              <w:spacing w:before="20" w:after="20"/>
              <w:ind w:left="57" w:right="57"/>
            </w:pPr>
            <w:r>
              <w:t>-</w:t>
            </w:r>
          </w:p>
        </w:tc>
        <w:tc>
          <w:tcPr>
            <w:tcW w:w="1247" w:type="dxa"/>
            <w:tcBorders>
              <w:top w:val="single" w:sz="4" w:space="0" w:color="auto"/>
            </w:tcBorders>
            <w:vAlign w:val="center"/>
          </w:tcPr>
          <w:p w14:paraId="5AD3AA90" w14:textId="16F2BA4B" w:rsidR="00820892" w:rsidRPr="006E13D1" w:rsidRDefault="004C571A" w:rsidP="009B4AFC">
            <w:pPr>
              <w:pStyle w:val="TAC"/>
              <w:spacing w:before="20" w:after="20"/>
              <w:ind w:left="57" w:right="57"/>
            </w:pPr>
            <w:r>
              <w:t>-</w:t>
            </w:r>
          </w:p>
        </w:tc>
        <w:tc>
          <w:tcPr>
            <w:tcW w:w="1247" w:type="dxa"/>
            <w:tcBorders>
              <w:top w:val="single" w:sz="4" w:space="0" w:color="auto"/>
            </w:tcBorders>
            <w:vAlign w:val="center"/>
          </w:tcPr>
          <w:p w14:paraId="05434596" w14:textId="2CE7074C" w:rsidR="00820892" w:rsidRDefault="00820892" w:rsidP="009B4AFC">
            <w:pPr>
              <w:pStyle w:val="TAC"/>
              <w:spacing w:before="20" w:after="20"/>
              <w:ind w:left="57" w:right="57"/>
            </w:pPr>
            <w:r>
              <w:t>1</w:t>
            </w:r>
            <w:r w:rsidR="004C571A">
              <w:t>00%</w:t>
            </w:r>
          </w:p>
        </w:tc>
        <w:tc>
          <w:tcPr>
            <w:tcW w:w="1247" w:type="dxa"/>
            <w:tcBorders>
              <w:top w:val="single" w:sz="4" w:space="0" w:color="auto"/>
            </w:tcBorders>
            <w:vAlign w:val="center"/>
          </w:tcPr>
          <w:p w14:paraId="00D134DB" w14:textId="2A163542" w:rsidR="00820892" w:rsidRDefault="004C571A" w:rsidP="009B4AFC">
            <w:pPr>
              <w:pStyle w:val="TAC"/>
              <w:spacing w:before="20" w:after="20"/>
              <w:ind w:left="57" w:right="57"/>
            </w:pPr>
            <w:r>
              <w:t>98.7%</w:t>
            </w:r>
          </w:p>
        </w:tc>
        <w:tc>
          <w:tcPr>
            <w:tcW w:w="1247" w:type="dxa"/>
            <w:tcBorders>
              <w:top w:val="single" w:sz="4" w:space="0" w:color="auto"/>
            </w:tcBorders>
            <w:vAlign w:val="center"/>
          </w:tcPr>
          <w:p w14:paraId="74E57339" w14:textId="0060B92C" w:rsidR="00820892" w:rsidRDefault="004C571A" w:rsidP="009B4AFC">
            <w:pPr>
              <w:pStyle w:val="TAC"/>
              <w:spacing w:before="20" w:after="20"/>
              <w:ind w:left="57" w:right="57"/>
            </w:pPr>
            <w:r>
              <w:t>97.7%</w:t>
            </w:r>
          </w:p>
        </w:tc>
      </w:tr>
    </w:tbl>
    <w:p w14:paraId="3965A50E" w14:textId="0B79EBCC" w:rsidR="00820892" w:rsidRDefault="00820892" w:rsidP="001B49C9"/>
    <w:p w14:paraId="7B73618E" w14:textId="77777777" w:rsidR="00CD4C7B" w:rsidRPr="006E13D1" w:rsidRDefault="00CD4C7B" w:rsidP="00CD4C7B"/>
    <w:p w14:paraId="43A12B72" w14:textId="123968CC" w:rsidR="00CD4C7B" w:rsidRPr="006E13D1" w:rsidRDefault="00CC1186" w:rsidP="00CD4C7B">
      <w:pPr>
        <w:pStyle w:val="Heading1"/>
      </w:pPr>
      <w:r>
        <w:t>3</w:t>
      </w:r>
      <w:r w:rsidR="00CD4C7B" w:rsidRPr="006E13D1">
        <w:tab/>
      </w:r>
      <w:r>
        <w:t>Conclusion</w:t>
      </w:r>
    </w:p>
    <w:p w14:paraId="190C81D1" w14:textId="3D31BD8F" w:rsidR="00CD4C7B" w:rsidRDefault="00CC1186" w:rsidP="00CD4C7B">
      <w:r>
        <w:t xml:space="preserve">In this contribution we have presented initial evaluation results for the possible power saving gains attainable via introducing WUS for paging. The power consumption modelling follows the RAN1 agreed model, while making some simplifications, which reduce the baseline power consumption (only intra-frequency measurements assumed) and increase the potential benefit of WUS for paging (probability of paging is 0%) as presented in Section 2.1. Based on the initial results presented in Section 2.2 </w:t>
      </w:r>
      <w:proofErr w:type="gramStart"/>
      <w:r>
        <w:t>it can be seen that the</w:t>
      </w:r>
      <w:proofErr w:type="gramEnd"/>
      <w:r>
        <w:t xml:space="preserve"> power saving potential of WUS for paging in NR is rather limited. </w:t>
      </w:r>
      <w:proofErr w:type="gramStart"/>
      <w:r>
        <w:t>Therefore</w:t>
      </w:r>
      <w:proofErr w:type="gramEnd"/>
      <w:r>
        <w:t xml:space="preserve"> it is felt that RAN2 should focus the work on other possible power saving mechanisms on more prominent areas.</w:t>
      </w:r>
    </w:p>
    <w:p w14:paraId="3841F5BC" w14:textId="4082AA5C" w:rsidR="00086F94" w:rsidRDefault="00086F94" w:rsidP="00CD4C7B">
      <w:r w:rsidRPr="00086F94">
        <w:rPr>
          <w:b/>
        </w:rPr>
        <w:t>Observation</w:t>
      </w:r>
      <w:r>
        <w:t xml:space="preserve">: Based on the evaluations, the power saving potential of WUS for paging in NR is limited. </w:t>
      </w:r>
    </w:p>
    <w:p w14:paraId="6FCE736B" w14:textId="40D18073" w:rsidR="00086F94" w:rsidRPr="00086F94" w:rsidRDefault="00086F94" w:rsidP="00CD4C7B">
      <w:pPr>
        <w:rPr>
          <w:b/>
        </w:rPr>
      </w:pPr>
      <w:r w:rsidRPr="00086F94">
        <w:rPr>
          <w:b/>
        </w:rPr>
        <w:t xml:space="preserve">Proposal: </w:t>
      </w:r>
      <w:r>
        <w:t>RAN2 should focus the work on other possible power saving mechanisms on more prominent areas</w:t>
      </w:r>
      <w:r w:rsidR="00B71685">
        <w:t xml:space="preserve"> than WUS for paging</w:t>
      </w:r>
      <w:r>
        <w:t>.</w:t>
      </w:r>
    </w:p>
    <w:p w14:paraId="35F222F4" w14:textId="72506AC4" w:rsidR="00080512" w:rsidRDefault="000F1AD5" w:rsidP="000F1AD5">
      <w:pPr>
        <w:pStyle w:val="Heading1"/>
      </w:pPr>
      <w:r>
        <w:t>References</w:t>
      </w:r>
    </w:p>
    <w:p w14:paraId="10FF66E1" w14:textId="0646B542" w:rsidR="000F1AD5" w:rsidRPr="000F1AD5" w:rsidRDefault="000F1AD5" w:rsidP="000F1AD5">
      <w:pPr>
        <w:pStyle w:val="ListParagraph"/>
        <w:numPr>
          <w:ilvl w:val="0"/>
          <w:numId w:val="4"/>
        </w:numPr>
        <w:rPr>
          <w:rFonts w:ascii="Times New Roman" w:hAnsi="Times New Roman" w:cs="Times New Roman"/>
          <w:sz w:val="22"/>
          <w:szCs w:val="22"/>
          <w:lang w:val="en-GB"/>
        </w:rPr>
      </w:pPr>
      <w:bookmarkStart w:id="1" w:name="_Ref1055280"/>
      <w:bookmarkStart w:id="2" w:name="_Ref534975944"/>
      <w:r w:rsidRPr="00062400">
        <w:rPr>
          <w:rFonts w:ascii="Times New Roman" w:hAnsi="Times New Roman" w:cs="Times New Roman"/>
          <w:sz w:val="22"/>
          <w:szCs w:val="22"/>
          <w:lang w:val="en-GB"/>
        </w:rPr>
        <w:t>RP-181463 “Study on UE Power Saving in NR”, CATT et al, June 2018</w:t>
      </w:r>
      <w:bookmarkEnd w:id="1"/>
    </w:p>
    <w:p w14:paraId="7542EFAA" w14:textId="7BD7630A" w:rsidR="000F1AD5" w:rsidRDefault="000F1AD5" w:rsidP="000F1AD5">
      <w:pPr>
        <w:numPr>
          <w:ilvl w:val="0"/>
          <w:numId w:val="4"/>
        </w:numPr>
        <w:spacing w:after="160" w:line="259" w:lineRule="auto"/>
        <w:rPr>
          <w:lang w:val="en-US"/>
        </w:rPr>
      </w:pPr>
      <w:bookmarkStart w:id="3" w:name="_Ref1055348"/>
      <w:r w:rsidRPr="00E17F7B">
        <w:rPr>
          <w:lang w:val="en-US" w:eastAsia="zh-CN"/>
        </w:rPr>
        <w:t>3GPP TR 38.840 V0.1.0 (2018-11), “Study on UE Power Saving (release 16)</w:t>
      </w:r>
      <w:r w:rsidRPr="00E17F7B">
        <w:rPr>
          <w:bCs/>
          <w:lang w:val="en-US"/>
        </w:rPr>
        <w:t>”,</w:t>
      </w:r>
      <w:r w:rsidRPr="00E17F7B">
        <w:rPr>
          <w:b/>
          <w:bCs/>
          <w:lang w:val="en-US"/>
        </w:rPr>
        <w:t xml:space="preserve"> </w:t>
      </w:r>
      <w:r w:rsidRPr="00E17F7B">
        <w:rPr>
          <w:lang w:val="en-US" w:eastAsia="zh-CN"/>
        </w:rPr>
        <w:t>3GPP</w:t>
      </w:r>
      <w:bookmarkEnd w:id="2"/>
      <w:bookmarkEnd w:id="3"/>
    </w:p>
    <w:p w14:paraId="121CC875" w14:textId="77777777" w:rsidR="000F1AD5" w:rsidRPr="000F1AD5" w:rsidRDefault="000F1AD5" w:rsidP="000F1AD5"/>
    <w:sectPr w:rsidR="000F1AD5" w:rsidRPr="000F1AD5">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FEF45D" w14:textId="77777777" w:rsidR="00962509" w:rsidRDefault="00962509">
      <w:r>
        <w:separator/>
      </w:r>
    </w:p>
  </w:endnote>
  <w:endnote w:type="continuationSeparator" w:id="0">
    <w:p w14:paraId="730EAC20" w14:textId="77777777" w:rsidR="00962509" w:rsidRDefault="00962509">
      <w:r>
        <w:continuationSeparator/>
      </w:r>
    </w:p>
  </w:endnote>
  <w:endnote w:type="continuationNotice" w:id="1">
    <w:p w14:paraId="14F2DA01" w14:textId="77777777" w:rsidR="00D17153" w:rsidRDefault="00D1715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C6C7B" w14:textId="77777777" w:rsidR="00CB72B8" w:rsidRDefault="00CB72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68664D" w14:textId="77777777" w:rsidR="00CB72B8" w:rsidRDefault="00CB72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1C49A6" w14:textId="77777777" w:rsidR="00CB72B8" w:rsidRDefault="00CB72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3E4184" w14:textId="77777777" w:rsidR="00962509" w:rsidRDefault="00962509">
      <w:r>
        <w:separator/>
      </w:r>
    </w:p>
  </w:footnote>
  <w:footnote w:type="continuationSeparator" w:id="0">
    <w:p w14:paraId="5DDB852C" w14:textId="77777777" w:rsidR="00962509" w:rsidRDefault="00962509">
      <w:r>
        <w:continuationSeparator/>
      </w:r>
    </w:p>
  </w:footnote>
  <w:footnote w:type="continuationNotice" w:id="1">
    <w:p w14:paraId="51B448A4" w14:textId="77777777" w:rsidR="00D17153" w:rsidRDefault="00D1715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E2F33" w14:textId="77777777" w:rsidR="00CB72B8" w:rsidRDefault="00CB72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E170" w14:textId="77777777" w:rsidR="00CB72B8" w:rsidRDefault="00CB72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B3F198" w14:textId="77777777" w:rsidR="00CB72B8" w:rsidRDefault="00CB72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33397"/>
    <w:rsid w:val="00040095"/>
    <w:rsid w:val="00080512"/>
    <w:rsid w:val="00086F94"/>
    <w:rsid w:val="00090468"/>
    <w:rsid w:val="000B7BCF"/>
    <w:rsid w:val="000C522B"/>
    <w:rsid w:val="000D58AB"/>
    <w:rsid w:val="000F1AD5"/>
    <w:rsid w:val="00112F1A"/>
    <w:rsid w:val="00145075"/>
    <w:rsid w:val="001741A0"/>
    <w:rsid w:val="00175FA0"/>
    <w:rsid w:val="00194CD0"/>
    <w:rsid w:val="001B49C9"/>
    <w:rsid w:val="001C4F79"/>
    <w:rsid w:val="001F168B"/>
    <w:rsid w:val="001F7831"/>
    <w:rsid w:val="00204045"/>
    <w:rsid w:val="0020712B"/>
    <w:rsid w:val="0022606D"/>
    <w:rsid w:val="00231728"/>
    <w:rsid w:val="002610D8"/>
    <w:rsid w:val="002747EC"/>
    <w:rsid w:val="002855BF"/>
    <w:rsid w:val="002F0D22"/>
    <w:rsid w:val="003172DC"/>
    <w:rsid w:val="00322774"/>
    <w:rsid w:val="00325AE3"/>
    <w:rsid w:val="00326069"/>
    <w:rsid w:val="0035462D"/>
    <w:rsid w:val="00364B41"/>
    <w:rsid w:val="003A41EF"/>
    <w:rsid w:val="003B40AD"/>
    <w:rsid w:val="003C4E37"/>
    <w:rsid w:val="003E16BE"/>
    <w:rsid w:val="003F4E28"/>
    <w:rsid w:val="004006E8"/>
    <w:rsid w:val="00401855"/>
    <w:rsid w:val="00415F63"/>
    <w:rsid w:val="00465587"/>
    <w:rsid w:val="00477455"/>
    <w:rsid w:val="004A1F7B"/>
    <w:rsid w:val="004C44D2"/>
    <w:rsid w:val="004C571A"/>
    <w:rsid w:val="004D3578"/>
    <w:rsid w:val="004D380D"/>
    <w:rsid w:val="004E213A"/>
    <w:rsid w:val="00503171"/>
    <w:rsid w:val="00506C28"/>
    <w:rsid w:val="00515890"/>
    <w:rsid w:val="00534DA0"/>
    <w:rsid w:val="00543E6C"/>
    <w:rsid w:val="00551FB8"/>
    <w:rsid w:val="00565087"/>
    <w:rsid w:val="0056573F"/>
    <w:rsid w:val="00611566"/>
    <w:rsid w:val="00613237"/>
    <w:rsid w:val="00646D99"/>
    <w:rsid w:val="00656910"/>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2DD0"/>
    <w:rsid w:val="008028A4"/>
    <w:rsid w:val="00813245"/>
    <w:rsid w:val="00820892"/>
    <w:rsid w:val="008768CA"/>
    <w:rsid w:val="00877EF9"/>
    <w:rsid w:val="00880559"/>
    <w:rsid w:val="008B5061"/>
    <w:rsid w:val="008B5306"/>
    <w:rsid w:val="008B5634"/>
    <w:rsid w:val="008D2E4D"/>
    <w:rsid w:val="008F396F"/>
    <w:rsid w:val="0090271F"/>
    <w:rsid w:val="00902DB9"/>
    <w:rsid w:val="0090466A"/>
    <w:rsid w:val="00936071"/>
    <w:rsid w:val="00940212"/>
    <w:rsid w:val="00942EC2"/>
    <w:rsid w:val="00961B32"/>
    <w:rsid w:val="00962509"/>
    <w:rsid w:val="00970DB3"/>
    <w:rsid w:val="00974BB0"/>
    <w:rsid w:val="009A0AF3"/>
    <w:rsid w:val="009B07CD"/>
    <w:rsid w:val="009C19E9"/>
    <w:rsid w:val="009D74A6"/>
    <w:rsid w:val="00A10F02"/>
    <w:rsid w:val="00A13ED6"/>
    <w:rsid w:val="00A204CA"/>
    <w:rsid w:val="00A53724"/>
    <w:rsid w:val="00A82346"/>
    <w:rsid w:val="00A84503"/>
    <w:rsid w:val="00A853F6"/>
    <w:rsid w:val="00A9671C"/>
    <w:rsid w:val="00AA1553"/>
    <w:rsid w:val="00AC0816"/>
    <w:rsid w:val="00B05380"/>
    <w:rsid w:val="00B05962"/>
    <w:rsid w:val="00B12239"/>
    <w:rsid w:val="00B15449"/>
    <w:rsid w:val="00B27303"/>
    <w:rsid w:val="00B47FD1"/>
    <w:rsid w:val="00B516BB"/>
    <w:rsid w:val="00B71685"/>
    <w:rsid w:val="00B84DB2"/>
    <w:rsid w:val="00BC3555"/>
    <w:rsid w:val="00BD73B2"/>
    <w:rsid w:val="00C12B51"/>
    <w:rsid w:val="00C24650"/>
    <w:rsid w:val="00C25465"/>
    <w:rsid w:val="00C33079"/>
    <w:rsid w:val="00C56343"/>
    <w:rsid w:val="00C83A13"/>
    <w:rsid w:val="00C9068C"/>
    <w:rsid w:val="00C92967"/>
    <w:rsid w:val="00CA3D0C"/>
    <w:rsid w:val="00CA654B"/>
    <w:rsid w:val="00CB72B8"/>
    <w:rsid w:val="00CB7969"/>
    <w:rsid w:val="00CC1186"/>
    <w:rsid w:val="00CD4C7B"/>
    <w:rsid w:val="00D17153"/>
    <w:rsid w:val="00D33BE3"/>
    <w:rsid w:val="00D3792D"/>
    <w:rsid w:val="00D55E47"/>
    <w:rsid w:val="00D62E19"/>
    <w:rsid w:val="00D67CD1"/>
    <w:rsid w:val="00D738D6"/>
    <w:rsid w:val="00D80795"/>
    <w:rsid w:val="00D854BE"/>
    <w:rsid w:val="00D87E00"/>
    <w:rsid w:val="00D9134D"/>
    <w:rsid w:val="00D93391"/>
    <w:rsid w:val="00D96D11"/>
    <w:rsid w:val="00DA7A03"/>
    <w:rsid w:val="00DB0A6A"/>
    <w:rsid w:val="00DB0DB8"/>
    <w:rsid w:val="00DB1818"/>
    <w:rsid w:val="00DC309B"/>
    <w:rsid w:val="00DC4DA2"/>
    <w:rsid w:val="00E46941"/>
    <w:rsid w:val="00E46C08"/>
    <w:rsid w:val="00E471CF"/>
    <w:rsid w:val="00E62835"/>
    <w:rsid w:val="00E77645"/>
    <w:rsid w:val="00E83697"/>
    <w:rsid w:val="00EC1CEE"/>
    <w:rsid w:val="00EC4A25"/>
    <w:rsid w:val="00EC5F47"/>
    <w:rsid w:val="00F025A2"/>
    <w:rsid w:val="00F07388"/>
    <w:rsid w:val="00F12253"/>
    <w:rsid w:val="00F2026E"/>
    <w:rsid w:val="00F2210A"/>
    <w:rsid w:val="00F37743"/>
    <w:rsid w:val="00F54A3D"/>
    <w:rsid w:val="00F54CB0"/>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0F1AD5"/>
    <w:pPr>
      <w:spacing w:after="0" w:line="259" w:lineRule="auto"/>
      <w:ind w:left="720"/>
      <w:contextualSpacing/>
    </w:pPr>
    <w:rPr>
      <w:rFonts w:asciiTheme="minorHAnsi" w:eastAsiaTheme="minorHAnsi" w:hAnsiTheme="minorHAnsi" w:cstheme="minorBidi"/>
      <w:sz w:val="24"/>
      <w:szCs w:val="24"/>
      <w:lang w:val="fi-FI"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0F1AD5"/>
    <w:rPr>
      <w:rFonts w:asciiTheme="minorHAnsi" w:eastAsiaTheme="minorHAnsi" w:hAnsiTheme="minorHAnsi" w:cstheme="minorBidi"/>
      <w:sz w:val="24"/>
      <w:szCs w:val="24"/>
      <w:lang w:val="fi-F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5AIRPNAIUNRU-1830940522-4923</_dlc_DocId>
    <_dlc_DocIdUrl xmlns="71c5aaf6-e6ce-465b-b873-5148d2a4c105">
      <Url>https://nokia.sharepoint.com/sites/c5g/5gradio/_layouts/15/DocIdRedir.aspx?ID=5AIRPNAIUNRU-1830940522-4923</Url>
      <Description>5AIRPNAIUNRU-1830940522-4923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3b34c8f0-1ef5-4d1e-bb66-517ce7fe7356"/>
    <ds:schemaRef ds:uri="http://schemas.microsoft.com/office/infopath/2007/PartnerControls"/>
    <ds:schemaRef ds:uri="http://schemas.openxmlformats.org/package/2006/metadata/core-properties"/>
    <ds:schemaRef ds:uri="http://schemas.microsoft.com/office/2006/documentManagement/types"/>
    <ds:schemaRef ds:uri="http://purl.org/dc/terms/"/>
    <ds:schemaRef ds:uri="http://purl.org/dc/elements/1.1/"/>
    <ds:schemaRef ds:uri="http://www.w3.org/XML/1998/namespace"/>
    <ds:schemaRef ds:uri="71c5aaf6-e6ce-465b-b873-5148d2a4c105"/>
    <ds:schemaRef ds:uri="http://purl.org/dc/dcmitype/"/>
    <ds:schemaRef ds:uri="ebabf6ce-2443-438c-9946-ecc878e7654a"/>
    <ds:schemaRef ds:uri="95d2e41d-1f11-4347-bb1c-11d6a32975dd"/>
    <ds:schemaRef ds:uri="http://schemas.microsoft.com/office/2006/metadata/properties"/>
  </ds:schemaRefs>
</ds:datastoreItem>
</file>

<file path=customXml/itemProps4.xml><?xml version="1.0" encoding="utf-8"?>
<ds:datastoreItem xmlns:ds="http://schemas.openxmlformats.org/officeDocument/2006/customXml" ds:itemID="{8433E63F-CCF0-4599-9DFC-08C256E877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3</TotalTime>
  <Pages>3</Pages>
  <Words>916</Words>
  <Characters>4867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5772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Koskinen, Jussi-Pekka (Nokia - FI/Oulu)</dc:creator>
  <cp:lastModifiedBy>Koskinen, Jussi-Pekka (Nokia - FI/Oulu)</cp:lastModifiedBy>
  <cp:revision>3</cp:revision>
  <dcterms:created xsi:type="dcterms:W3CDTF">2019-02-14T20:22:00Z</dcterms:created>
  <dcterms:modified xsi:type="dcterms:W3CDTF">2019-02-14T20:27:00Z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13a583c8-218c-4018-aca4-1f04610e0d72</vt:lpwstr>
  </property>
</Properties>
</file>